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6663"/>
        <w:gridCol w:w="3968"/>
        <w:gridCol w:w="1080"/>
      </w:tblGrid>
      <w:tr w:rsidR="00A06425" w:rsidRPr="004B4123" w14:paraId="5CA981BB" w14:textId="77777777" w:rsidTr="00634C65">
        <w:tc>
          <w:tcPr>
            <w:tcW w:w="15675" w:type="dxa"/>
            <w:gridSpan w:val="6"/>
            <w:shd w:val="clear" w:color="auto" w:fill="auto"/>
            <w:vAlign w:val="center"/>
          </w:tcPr>
          <w:p w14:paraId="577FCB5D" w14:textId="1FBF22E3" w:rsidR="006C6369" w:rsidRPr="0077406D" w:rsidRDefault="00A06425" w:rsidP="00B871B6">
            <w:pPr>
              <w:spacing w:before="120" w:after="12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C70D37" w:rsidRPr="00C70D37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projekt ustawy o zmianie ustawy o Krajowym Rejestrze Sądowym oraz niektórych innych ustaw (UDER49)</w:t>
            </w:r>
            <w:r w:rsidR="00C70D37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634C65"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968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080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634C65">
        <w:tc>
          <w:tcPr>
            <w:tcW w:w="421" w:type="dxa"/>
            <w:shd w:val="clear" w:color="auto" w:fill="auto"/>
          </w:tcPr>
          <w:p w14:paraId="14DAC873" w14:textId="77777777" w:rsidR="009357E2" w:rsidRPr="004B6938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096E7FA0" w:rsidR="009357E2" w:rsidRPr="004B6938" w:rsidRDefault="009357E2" w:rsidP="009357E2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MFiG</w:t>
            </w:r>
            <w:proofErr w:type="spellEnd"/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3372CBA7" w:rsidR="009357E2" w:rsidRPr="004B6938" w:rsidRDefault="004B6938" w:rsidP="00F62A4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Art. 7</w:t>
            </w:r>
          </w:p>
        </w:tc>
        <w:tc>
          <w:tcPr>
            <w:tcW w:w="6663" w:type="dxa"/>
            <w:shd w:val="clear" w:color="auto" w:fill="auto"/>
          </w:tcPr>
          <w:p w14:paraId="20F861FE" w14:textId="465319A6" w:rsidR="009357E2" w:rsidRPr="004B6938" w:rsidRDefault="004B6938" w:rsidP="00D8597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Zwracamy uwagę, iż w przepisie art. 7 projektu wprowadzane są zmiany w ustawie o Krajowej Administracji Skarbowej poprzez dodanie art. 46b. Przepis ten nakłada wprost na organy podatkowe obowiązek badania sytuacji majątkowej podatnika, mającej być podstawą dla sądu rejestrowego, do prowadzenia postępowania o rozwiązanie podmiotu wpisanego do KRS bez przeprowadzenia postępowania likwidacyjnego.  Proponowana zmiana dotychczas obowiązującego art. 25c ustawy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 Krajowym Rejestrze Sądowym, która ogranicza pozyskiwanie przez sąd rejestrowy informacji wyłącznie od organu podatkowego i ZUS-u </w:t>
            </w:r>
            <w:r w:rsidR="00D8597D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może powodować, że obraz sytuacji podatnika będzie niepełny.</w:t>
            </w:r>
            <w:r w:rsidR="00D8597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Jednocześnie, w wyniku wprowadzenia ww. przepisu na naczelnika urzędu skarbowego nałożony zostaje nowy obowiązek polegający </w:t>
            </w:r>
            <w:r w:rsidR="00D8597D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na przekazywaniu sądowi rejestrowemu informacji o braku posiadania przez podatnika ujawnionego w KRS majątku oraz nieprowadzeniu działalności (gospodarczej). Zwracamy uwagę, że projekt ustawy nie wskazuje zakresu i sposobu przekazywania tych informacji.</w:t>
            </w:r>
          </w:p>
        </w:tc>
        <w:tc>
          <w:tcPr>
            <w:tcW w:w="3968" w:type="dxa"/>
            <w:shd w:val="clear" w:color="auto" w:fill="auto"/>
          </w:tcPr>
          <w:p w14:paraId="73D41DF8" w14:textId="1811A479" w:rsidR="009357E2" w:rsidRPr="004B6938" w:rsidRDefault="004B6938" w:rsidP="009357E2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Korekta projektu ustawy we wskazanym zakresie.</w:t>
            </w:r>
          </w:p>
        </w:tc>
        <w:tc>
          <w:tcPr>
            <w:tcW w:w="1080" w:type="dxa"/>
          </w:tcPr>
          <w:p w14:paraId="2B8EA4FC" w14:textId="77777777" w:rsidR="009357E2" w:rsidRPr="004B6938" w:rsidRDefault="009357E2" w:rsidP="009357E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947FC2" w:rsidRPr="004B4123" w14:paraId="44F51E7A" w14:textId="77777777" w:rsidTr="00634C65">
        <w:tc>
          <w:tcPr>
            <w:tcW w:w="421" w:type="dxa"/>
            <w:shd w:val="clear" w:color="auto" w:fill="auto"/>
          </w:tcPr>
          <w:p w14:paraId="2B049313" w14:textId="14357905" w:rsidR="00947FC2" w:rsidRPr="004B6938" w:rsidRDefault="00947FC2" w:rsidP="00947FC2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98B0150" w14:textId="24ACD339" w:rsidR="00947FC2" w:rsidRPr="004B6938" w:rsidRDefault="00947FC2" w:rsidP="00947FC2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MFiG</w:t>
            </w:r>
            <w:proofErr w:type="spellEnd"/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14BE49DC" w14:textId="51C68495" w:rsidR="00947FC2" w:rsidRPr="004B6938" w:rsidRDefault="00947FC2" w:rsidP="00947FC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>rt. 24 ust. 2b</w:t>
            </w:r>
          </w:p>
        </w:tc>
        <w:tc>
          <w:tcPr>
            <w:tcW w:w="6663" w:type="dxa"/>
            <w:shd w:val="clear" w:color="auto" w:fill="auto"/>
          </w:tcPr>
          <w:p w14:paraId="113E62A0" w14:textId="5554A019" w:rsidR="00947FC2" w:rsidRPr="00947FC2" w:rsidRDefault="00947FC2" w:rsidP="00947FC2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MF 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>podtrzymuje uwagi zgłoszone na wcześniejszym etapie procesu legislacyjnego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>w szczególności w zakresie skutków wprowadzenia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projektowanego </w:t>
            </w:r>
            <w:r w:rsidRPr="00947F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art. </w:t>
            </w:r>
            <w:bookmarkStart w:id="0" w:name="_Hlk209615949"/>
            <w:r w:rsidRPr="00947F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24 ust. 2b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bookmarkEnd w:id="0"/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ustawy o Krajowym Rejestrze Sądowym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</w:t>
            </w:r>
          </w:p>
          <w:p w14:paraId="215A49DA" w14:textId="3F50934E" w:rsidR="00947FC2" w:rsidRDefault="00947FC2" w:rsidP="00947FC2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Zgodnie z ww. przepisem (w brzmieniu przewidzianym w obecnej wersji projektu) sąd rejestrowy, po wpisaniu do Rejestru wzmianki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 niewykonaniu obowiązku złożenia dokumentów finansowych pomimo wezwania sądu, niezwłocznie zawiadamia </w:t>
            </w:r>
            <w:r w:rsidRPr="00947F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właściwy organ Krajowej Administracji Skarbowej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 podejrzeniu popełnienia czynu zabronionego, o którym mowa w </w:t>
            </w:r>
            <w:r w:rsidRPr="00947F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art. 79 pkt 4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ustawy z dnia 29 września 1994 r. </w:t>
            </w:r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o rachunkowości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>, przekazując jednocześnie informację o numerze podmiotu w Rejestrze, sygnaturze sprawy, dacie dokonania wpisu tej wzmianki i numerze wpisu.</w:t>
            </w:r>
          </w:p>
          <w:p w14:paraId="1FCFECBD" w14:textId="7FDA4027" w:rsidR="00947FC2" w:rsidRPr="00947FC2" w:rsidRDefault="00947FC2" w:rsidP="00947FC2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Pomimo częściowego uwzględnienia przez projektodawcę uwagi zgłoszonej przez Ministra Finansów i Gospodarki (pismo z 29 września 2025 r. nr FS2.021.83.2025), poprzez zastąpienie sformułowania, cyt.: </w:t>
            </w:r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lastRenderedPageBreak/>
              <w:t>„zawiadamia naczelnika urzędu skarbowego właściwego według ostatniego ujawnionego w Rejestrze adresu siedziby podmiotu”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określeniem, cyt.: </w:t>
            </w:r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„zawiadamia właściwy organ Krajowej Administracji Skarbowej”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przedmiotowy przepis nadal budzi wątpliwości w związku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 tym, że przewiduje przekazywanie zawiadomień o popełnieniu przestępstwa wyłącznie do właściwych organów KAS. Przepis ten pomija zupełnie Policję, do której podstawowych zadań – zgodnie z art. 1 ust. 2 pkt 4 ustawy o Policji – należy m.in. wykrywanie przestępstw i wykroczeń oraz ściganie ich sprawców. W ocenie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MF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powyższe zadanie obejmuje również czyny zabronione określone w ustawie o rachunkowości.</w:t>
            </w:r>
          </w:p>
          <w:p w14:paraId="06B9DF83" w14:textId="7014580E" w:rsidR="00947FC2" w:rsidRPr="00947FC2" w:rsidRDefault="00947FC2" w:rsidP="00947FC2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Jak już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wcześniej 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wyjaśniono, zgodnie z </w:t>
            </w:r>
            <w:r w:rsidRPr="00947F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§2 ust. 2a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rozporządzenia Ministra Sprawiedliwości z dnia 22 września 2015 r. </w:t>
            </w:r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w sprawie organów uprawnionych </w:t>
            </w:r>
            <w:r w:rsidRPr="00947FC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obok Policji</w:t>
            </w:r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 do prowadzenia dochodzeń oraz organów uprawnionych do wnoszenia i popierania oskarżenia przed sądem pierwszej instancji w sprawach, w których prowadzono dochodzenie, jak również zakresu spraw zleconych tym organom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(Dz. U. z 2025 r. poz. 1027) właściwymi organami w sprawach m.in. o przestępstwa z </w:t>
            </w:r>
            <w:r w:rsidRPr="00947F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art</w:t>
            </w:r>
            <w:bookmarkStart w:id="1" w:name="_Hlk209623025"/>
            <w:r w:rsidRPr="00947F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79 pkt 4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ustawy o rachunkowości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bookmarkEnd w:id="1"/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>są Policja oraz organy KAS, tj. naczelnik urzędu celno-skarbowego w sprawach z zakresu kontroli celno-skarbowej oraz naczelnik urzędu skarbowego w pozostałych sprawach. Sprawy te prowadzone są wyłącznie pod nadzorem prokuratora.</w:t>
            </w:r>
          </w:p>
          <w:p w14:paraId="4B2D2DC5" w14:textId="72E31F29" w:rsidR="00947FC2" w:rsidRPr="00947FC2" w:rsidRDefault="00947FC2" w:rsidP="00947FC2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Proponowany w przedmiotowym projekcie zapis dotyczący kierowania zawiadomień o popełnieniu przestępstw w tych sprawach jedynie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 właściwych organów KAS, w praktyce spowoduje dalszy wzrost koncentracji tych spraw wyłącznie w organach KAS, co może mieć negatywny wpływ na realizowane przez finansowe organy postępowania przygotowawczego zadania w zakresie prowadzenia postępowań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sprawach o przestępstwa skarbowe i wykroczenia skarbowe, w tym przeciwko obowiązkom podatkowym. Natomiast przekazywanie przez sądy rejestrowe zawiadomień w tych sprawach do Policji lub prokuratury będzie incydentalne. W ocenie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MF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omawiany przepis powinien uwzględniać przekazywanie ww. zawiadomień do Policji, prokuratury oraz właściwych organów KAS.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>W związku z powyższym należy stwierdzić, iż projektodawca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wprowadzając zmiany w </w:t>
            </w:r>
            <w:r w:rsidRPr="00947F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art. 24 ust. 2b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nie uwzględnił kluczowej uwagi zgłoszonej przez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MF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Tym samym proponowany zapis </w:t>
            </w:r>
            <w:r w:rsidRPr="00947F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art. 24 ust. 2b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nie może być zaakceptowany.</w:t>
            </w:r>
          </w:p>
          <w:p w14:paraId="1F41AAEC" w14:textId="5A49B657" w:rsidR="00947FC2" w:rsidRPr="00947FC2" w:rsidRDefault="00947FC2" w:rsidP="00947FC2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Ponadto opiniowany projekt nie uwzględnia zgłoszonej przez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MF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propozycji dodania w </w:t>
            </w:r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ustawie o Krajowym Rejestrze Sądowym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przepisu </w:t>
            </w:r>
            <w:r w:rsidRPr="00947F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art. 24a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>, w brzmieniu, cyt.:</w:t>
            </w:r>
          </w:p>
          <w:p w14:paraId="3546D6BC" w14:textId="58E50EC8" w:rsidR="00947FC2" w:rsidRPr="00947FC2" w:rsidRDefault="00947FC2" w:rsidP="00947FC2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„Art. 24a. Sąd rejestrowy, po przeprowadzeniu postępowania przymuszającego, o którym mowa w art. 24 ust. 1, przekazuje właściwemu organowi powołanemu do ścigania czynu zabronionego określonego w art. 79 pkt 4 ustawy z dnia 29 września 1994 r. o rachunkowości (Dz. U. z 2023 r. poz. 120, z </w:t>
            </w:r>
            <w:proofErr w:type="spellStart"/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późn</w:t>
            </w:r>
            <w:proofErr w:type="spellEnd"/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. zm.) zawiadomienie 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br/>
            </w:r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o podejrzeniu popełnienia tego czynu wraz z dokumentacją dotyczącą tego postępowania.”.</w:t>
            </w:r>
          </w:p>
          <w:p w14:paraId="632430B2" w14:textId="206ECFC7" w:rsidR="00947FC2" w:rsidRPr="004B6938" w:rsidRDefault="00947FC2" w:rsidP="00947FC2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>Uzasadniając odmowę uwzględnienia powyższej propozycji (patrz protokół rozbieżności), Ministerstwo Sprawiedliwości nie przedstawi</w:t>
            </w:r>
            <w:r w:rsidR="008848F5">
              <w:rPr>
                <w:rFonts w:asciiTheme="minorHAnsi" w:hAnsiTheme="minorHAnsi" w:cstheme="minorHAnsi"/>
                <w:bCs/>
                <w:sz w:val="22"/>
                <w:szCs w:val="22"/>
              </w:rPr>
              <w:t>ło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alternatywnej propozycji legislacyjnej, która spowodowałaby ograniczenie zawiadomień o popełnieniu przestępstwa z </w:t>
            </w:r>
            <w:r w:rsidRPr="00947F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art. 79 pkt 4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47FC2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ustawy o rachunkowości</w:t>
            </w:r>
            <w:r w:rsidRPr="00947FC2">
              <w:rPr>
                <w:rFonts w:asciiTheme="minorHAnsi" w:hAnsiTheme="minorHAnsi" w:cstheme="minorHAnsi"/>
                <w:bCs/>
                <w:sz w:val="22"/>
                <w:szCs w:val="22"/>
              </w:rPr>
              <w:t>, które kończą się odmową wszczęcia dochodzenia w związku z następującymi, przykładowymi okolicznościami, tj.: śmierć członków organów zarządzających spółką, brak obowiązku składania do KRS sprawozdań finansowych w zależności od limitu obrotu lub przedawnienie karalności przestępstwa.</w:t>
            </w:r>
          </w:p>
        </w:tc>
        <w:tc>
          <w:tcPr>
            <w:tcW w:w="3968" w:type="dxa"/>
            <w:shd w:val="clear" w:color="auto" w:fill="auto"/>
          </w:tcPr>
          <w:p w14:paraId="7E6D0A35" w14:textId="31BEA0B9" w:rsidR="00947FC2" w:rsidRPr="004B6938" w:rsidRDefault="00947FC2" w:rsidP="00947FC2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Korekta projektu ustawy we wskazanym zakresie.</w:t>
            </w:r>
          </w:p>
        </w:tc>
        <w:tc>
          <w:tcPr>
            <w:tcW w:w="1080" w:type="dxa"/>
          </w:tcPr>
          <w:p w14:paraId="382D8286" w14:textId="77777777" w:rsidR="00947FC2" w:rsidRPr="004B6938" w:rsidRDefault="00947FC2" w:rsidP="00947FC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82814" w:rsidRPr="004B4123" w14:paraId="36AA3C9B" w14:textId="77777777" w:rsidTr="00EF750B">
        <w:tc>
          <w:tcPr>
            <w:tcW w:w="421" w:type="dxa"/>
            <w:shd w:val="clear" w:color="auto" w:fill="auto"/>
          </w:tcPr>
          <w:p w14:paraId="6ED9079E" w14:textId="62707FE5" w:rsidR="00282814" w:rsidRPr="004B6938" w:rsidRDefault="00282814" w:rsidP="00282814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1559" w:type="dxa"/>
            <w:shd w:val="clear" w:color="auto" w:fill="auto"/>
          </w:tcPr>
          <w:p w14:paraId="17062F2A" w14:textId="152FE4E3" w:rsidR="00282814" w:rsidRPr="004B6938" w:rsidRDefault="00282814" w:rsidP="00282814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MFiG</w:t>
            </w:r>
            <w:proofErr w:type="spellEnd"/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</w:tcPr>
          <w:p w14:paraId="634C0DFC" w14:textId="28C2CC26" w:rsidR="00282814" w:rsidRPr="004B6938" w:rsidRDefault="00282814" w:rsidP="002828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5FA3">
              <w:rPr>
                <w:rFonts w:asciiTheme="minorHAnsi" w:hAnsiTheme="minorHAnsi" w:cstheme="minorHAnsi"/>
                <w:sz w:val="22"/>
                <w:szCs w:val="22"/>
              </w:rPr>
              <w:t xml:space="preserve">art. 21e </w:t>
            </w:r>
          </w:p>
        </w:tc>
        <w:tc>
          <w:tcPr>
            <w:tcW w:w="6663" w:type="dxa"/>
          </w:tcPr>
          <w:p w14:paraId="77C1716F" w14:textId="1081DBA4" w:rsidR="00282814" w:rsidRPr="00432542" w:rsidRDefault="00282814" w:rsidP="00432542">
            <w:pPr>
              <w:pStyle w:val="TekstpismaMF"/>
              <w:spacing w:before="0" w:line="240" w:lineRule="auto"/>
              <w:jc w:val="both"/>
              <w:rPr>
                <w:rFonts w:asciiTheme="minorHAnsi" w:hAnsiTheme="minorHAnsi" w:cstheme="minorHAnsi"/>
              </w:rPr>
            </w:pPr>
            <w:r w:rsidRPr="00A75FA3">
              <w:rPr>
                <w:rFonts w:asciiTheme="minorHAnsi" w:hAnsiTheme="minorHAnsi" w:cstheme="minorHAnsi"/>
              </w:rPr>
              <w:t xml:space="preserve">Projektowany art. 21e powinien zostać uzupełniony o wyraźne wskazanie dokumentów, o których mowa w art. 40 pkt 5b–5d. </w:t>
            </w:r>
          </w:p>
        </w:tc>
        <w:tc>
          <w:tcPr>
            <w:tcW w:w="3968" w:type="dxa"/>
            <w:shd w:val="clear" w:color="auto" w:fill="auto"/>
          </w:tcPr>
          <w:p w14:paraId="532996F3" w14:textId="757BC0A4" w:rsidR="00282814" w:rsidRPr="004B6938" w:rsidRDefault="00432542" w:rsidP="0028281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Korekta projektu ustawy we wskazanym zakresie.</w:t>
            </w:r>
          </w:p>
        </w:tc>
        <w:tc>
          <w:tcPr>
            <w:tcW w:w="1080" w:type="dxa"/>
          </w:tcPr>
          <w:p w14:paraId="7D90CA35" w14:textId="77777777" w:rsidR="00282814" w:rsidRPr="004B6938" w:rsidRDefault="00282814" w:rsidP="002828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82814" w:rsidRPr="004B4123" w14:paraId="31539842" w14:textId="77777777" w:rsidTr="00EF750B">
        <w:tc>
          <w:tcPr>
            <w:tcW w:w="421" w:type="dxa"/>
            <w:shd w:val="clear" w:color="auto" w:fill="auto"/>
          </w:tcPr>
          <w:p w14:paraId="3A8B4AF7" w14:textId="10E74E2F" w:rsidR="00282814" w:rsidRPr="004B6938" w:rsidRDefault="00282814" w:rsidP="00282814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CC7C9EA" w14:textId="696C8E43" w:rsidR="00282814" w:rsidRPr="004B6938" w:rsidRDefault="00282814" w:rsidP="00282814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MFiG</w:t>
            </w:r>
            <w:proofErr w:type="spellEnd"/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</w:tcPr>
          <w:p w14:paraId="6799C3DD" w14:textId="1F7886F3" w:rsidR="00282814" w:rsidRPr="004B6938" w:rsidRDefault="00282814" w:rsidP="002828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5FA3">
              <w:rPr>
                <w:rFonts w:asciiTheme="minorHAnsi" w:hAnsiTheme="minorHAnsi" w:cstheme="minorHAnsi"/>
                <w:sz w:val="22"/>
                <w:szCs w:val="22"/>
              </w:rPr>
              <w:t>art. 25d</w:t>
            </w:r>
          </w:p>
        </w:tc>
        <w:tc>
          <w:tcPr>
            <w:tcW w:w="6663" w:type="dxa"/>
          </w:tcPr>
          <w:p w14:paraId="734B60D9" w14:textId="02DDA52D" w:rsidR="00282814" w:rsidRPr="00A75FA3" w:rsidRDefault="00282814" w:rsidP="00432542">
            <w:pPr>
              <w:pStyle w:val="TekstpismaMF"/>
              <w:spacing w:before="0" w:line="240" w:lineRule="auto"/>
              <w:jc w:val="both"/>
              <w:rPr>
                <w:rFonts w:asciiTheme="minorHAnsi" w:hAnsiTheme="minorHAnsi" w:cstheme="minorHAnsi"/>
              </w:rPr>
            </w:pPr>
            <w:r w:rsidRPr="00A75FA3">
              <w:rPr>
                <w:rFonts w:asciiTheme="minorHAnsi" w:hAnsiTheme="minorHAnsi" w:cstheme="minorHAnsi"/>
              </w:rPr>
              <w:t xml:space="preserve">Należy zauważyć, iż w projekcie z dnia 30 marca 2026 r. odstąpiono </w:t>
            </w:r>
            <w:r w:rsidR="00432542">
              <w:rPr>
                <w:rFonts w:asciiTheme="minorHAnsi" w:hAnsiTheme="minorHAnsi" w:cstheme="minorHAnsi"/>
              </w:rPr>
              <w:br/>
            </w:r>
            <w:r w:rsidRPr="00A75FA3">
              <w:rPr>
                <w:rFonts w:asciiTheme="minorHAnsi" w:hAnsiTheme="minorHAnsi" w:cstheme="minorHAnsi"/>
              </w:rPr>
              <w:t xml:space="preserve">od wprowadzenia do art. 25d ustępów 3a i 3b, które były w poprzedniej wersji projektu, czyli zrezygnowano z koncepcji stosowania sankcji grzywny wyłącznie wobec podmiotów posiadających zbywalny majątek w przypadku postępowania o rozwiązaniu podmiotu wpisanego </w:t>
            </w:r>
            <w:r w:rsidR="00432542">
              <w:rPr>
                <w:rFonts w:asciiTheme="minorHAnsi" w:hAnsiTheme="minorHAnsi" w:cstheme="minorHAnsi"/>
              </w:rPr>
              <w:br/>
            </w:r>
            <w:r w:rsidRPr="00A75FA3">
              <w:rPr>
                <w:rFonts w:asciiTheme="minorHAnsi" w:hAnsiTheme="minorHAnsi" w:cstheme="minorHAnsi"/>
              </w:rPr>
              <w:t xml:space="preserve">do Rejestru bez przeprowadzania postępowania likwidacyjnego. </w:t>
            </w:r>
            <w:r w:rsidR="00432542">
              <w:rPr>
                <w:rFonts w:asciiTheme="minorHAnsi" w:hAnsiTheme="minorHAnsi" w:cstheme="minorHAnsi"/>
              </w:rPr>
              <w:br/>
            </w:r>
            <w:r w:rsidRPr="00A75FA3">
              <w:rPr>
                <w:rFonts w:asciiTheme="minorHAnsi" w:hAnsiTheme="minorHAnsi" w:cstheme="minorHAnsi"/>
              </w:rPr>
              <w:t xml:space="preserve">W ocenie </w:t>
            </w:r>
            <w:r w:rsidR="00432542">
              <w:rPr>
                <w:rFonts w:asciiTheme="minorHAnsi" w:hAnsiTheme="minorHAnsi" w:cstheme="minorHAnsi"/>
              </w:rPr>
              <w:t>MF</w:t>
            </w:r>
            <w:r w:rsidRPr="00A75FA3">
              <w:rPr>
                <w:rFonts w:asciiTheme="minorHAnsi" w:hAnsiTheme="minorHAnsi" w:cstheme="minorHAnsi"/>
              </w:rPr>
              <w:t xml:space="preserve"> rozwiązanie to można by uznać za niewystarczające z punktu widzenia skuteczności egzekwowania obowiązków ustawowych. W szczególności wątpliwe jest, aby sam fakt ujawnienia wzmianki </w:t>
            </w:r>
            <w:r w:rsidR="00432542">
              <w:rPr>
                <w:rFonts w:asciiTheme="minorHAnsi" w:hAnsiTheme="minorHAnsi" w:cstheme="minorHAnsi"/>
              </w:rPr>
              <w:br/>
            </w:r>
            <w:r w:rsidRPr="00A75FA3">
              <w:rPr>
                <w:rFonts w:asciiTheme="minorHAnsi" w:hAnsiTheme="minorHAnsi" w:cstheme="minorHAnsi"/>
              </w:rPr>
              <w:t xml:space="preserve">w rejestrze mógł stanowić środek realnie mobilizujący podmioty do wykonania obowiązków sprawozdawczych. Tym samym projektowane rozwiązanie może nie spełniać funkcji prewencyjnej ani odstraszającej, </w:t>
            </w:r>
            <w:r w:rsidR="00432542">
              <w:rPr>
                <w:rFonts w:asciiTheme="minorHAnsi" w:hAnsiTheme="minorHAnsi" w:cstheme="minorHAnsi"/>
              </w:rPr>
              <w:br/>
            </w:r>
            <w:r w:rsidRPr="00A75FA3">
              <w:rPr>
                <w:rFonts w:asciiTheme="minorHAnsi" w:hAnsiTheme="minorHAnsi" w:cstheme="minorHAnsi"/>
              </w:rPr>
              <w:t>a cele postępowania nie zostaną osiągnięte.</w:t>
            </w:r>
          </w:p>
          <w:p w14:paraId="2DCF5CF2" w14:textId="77777777" w:rsidR="00282814" w:rsidRPr="00A75FA3" w:rsidRDefault="00282814" w:rsidP="00432542">
            <w:pPr>
              <w:pStyle w:val="TekstpismaMF"/>
              <w:spacing w:before="0" w:line="240" w:lineRule="auto"/>
              <w:jc w:val="both"/>
              <w:rPr>
                <w:rFonts w:asciiTheme="minorHAnsi" w:hAnsiTheme="minorHAnsi" w:cstheme="minorHAnsi"/>
              </w:rPr>
            </w:pPr>
            <w:r w:rsidRPr="00A75FA3">
              <w:rPr>
                <w:rFonts w:asciiTheme="minorHAnsi" w:hAnsiTheme="minorHAnsi" w:cstheme="minorHAnsi"/>
              </w:rPr>
              <w:t xml:space="preserve">Należy przy tym podkreślić, że zgodnie z art. 50 dyrektywy Parlamentu Europejskiego i Rady 2013/34/UE sankcje przewidziane w przypadku naruszenia przepisów krajowych powinny być skuteczne, proporcjonalne </w:t>
            </w:r>
            <w:r w:rsidRPr="00A75FA3">
              <w:rPr>
                <w:rFonts w:asciiTheme="minorHAnsi" w:hAnsiTheme="minorHAnsi" w:cstheme="minorHAnsi"/>
              </w:rPr>
              <w:lastRenderedPageBreak/>
              <w:t>i odstraszające. Wprowadzenie wyłącznie środka o charakterze informacyjnym, bez realnej dolegliwości po stronie podmiotu naruszającego obowiązki ustawowe, budzi poważne wątpliwości co do zgodności projektowanych rozwiązań z powyższym standardem unijnym.</w:t>
            </w:r>
          </w:p>
          <w:p w14:paraId="10FBD56C" w14:textId="2BB8F7FD" w:rsidR="00282814" w:rsidRPr="00712CB2" w:rsidRDefault="00282814" w:rsidP="00712CB2">
            <w:pPr>
              <w:pStyle w:val="TekstpismaMF"/>
              <w:spacing w:before="0" w:line="240" w:lineRule="auto"/>
              <w:jc w:val="both"/>
              <w:rPr>
                <w:rFonts w:asciiTheme="minorHAnsi" w:hAnsiTheme="minorHAnsi" w:cstheme="minorHAnsi"/>
              </w:rPr>
            </w:pPr>
            <w:r w:rsidRPr="00A75FA3">
              <w:rPr>
                <w:rFonts w:asciiTheme="minorHAnsi" w:hAnsiTheme="minorHAnsi" w:cstheme="minorHAnsi"/>
              </w:rPr>
              <w:t>Biorąc pod uwagę powyższe, po ponownej analizie proponowanych rozwiązań w zakresie postępowania przymuszającego, negatywnie opiniujemy rezygnację w postępowaniu przymuszającym z kary grzywny na rzecz wzmianki o niewykonywaniu obowiązku złożenia dokumentów finansowych, zarówno wobec po</w:t>
            </w:r>
            <w:r w:rsidR="00B317E4">
              <w:rPr>
                <w:rFonts w:asciiTheme="minorHAnsi" w:hAnsiTheme="minorHAnsi" w:cstheme="minorHAnsi"/>
              </w:rPr>
              <w:t>d</w:t>
            </w:r>
            <w:r w:rsidRPr="00A75FA3">
              <w:rPr>
                <w:rFonts w:asciiTheme="minorHAnsi" w:hAnsiTheme="minorHAnsi" w:cstheme="minorHAnsi"/>
              </w:rPr>
              <w:t xml:space="preserve">miotów posiadających majątek, </w:t>
            </w:r>
            <w:r w:rsidR="00B317E4">
              <w:rPr>
                <w:rFonts w:asciiTheme="minorHAnsi" w:hAnsiTheme="minorHAnsi" w:cstheme="minorHAnsi"/>
              </w:rPr>
              <w:br/>
            </w:r>
            <w:r w:rsidRPr="00A75FA3">
              <w:rPr>
                <w:rFonts w:asciiTheme="minorHAnsi" w:hAnsiTheme="minorHAnsi" w:cstheme="minorHAnsi"/>
              </w:rPr>
              <w:t>jak i nieposiadających majątku.  W naszej ocenie rezygnacja z tej sankcji powoduje ryzyko obniżenia skuteczności postępowania przymuszającego</w:t>
            </w:r>
            <w:r w:rsidR="00194476">
              <w:rPr>
                <w:rFonts w:asciiTheme="minorHAnsi" w:hAnsiTheme="minorHAnsi" w:cstheme="minorHAnsi"/>
              </w:rPr>
              <w:t>,</w:t>
            </w:r>
            <w:r w:rsidRPr="00A75FA3">
              <w:rPr>
                <w:rFonts w:asciiTheme="minorHAnsi" w:hAnsiTheme="minorHAnsi" w:cstheme="minorHAnsi"/>
              </w:rPr>
              <w:t xml:space="preserve"> tj. zwiększenie liczby podmiotów niewywiązujących się</w:t>
            </w:r>
            <w:r w:rsidR="00712CB2">
              <w:rPr>
                <w:rFonts w:asciiTheme="minorHAnsi" w:hAnsiTheme="minorHAnsi" w:cstheme="minorHAnsi"/>
              </w:rPr>
              <w:t xml:space="preserve"> </w:t>
            </w:r>
            <w:r w:rsidRPr="00A75FA3">
              <w:rPr>
                <w:rFonts w:asciiTheme="minorHAnsi" w:hAnsiTheme="minorHAnsi" w:cstheme="minorHAnsi"/>
              </w:rPr>
              <w:t xml:space="preserve">z obowiązków sprawozdawczych. W związku z tym wnioskujemy </w:t>
            </w:r>
            <w:r w:rsidR="00712CB2">
              <w:rPr>
                <w:rFonts w:asciiTheme="minorHAnsi" w:hAnsiTheme="minorHAnsi" w:cstheme="minorHAnsi"/>
              </w:rPr>
              <w:br/>
            </w:r>
            <w:r w:rsidRPr="00A75FA3">
              <w:rPr>
                <w:rFonts w:asciiTheme="minorHAnsi" w:hAnsiTheme="minorHAnsi" w:cstheme="minorHAnsi"/>
              </w:rPr>
              <w:t xml:space="preserve">o zachowanie sankcji, o której mowa w obecnym art. 24 ust. 1b </w:t>
            </w:r>
            <w:r w:rsidR="00712CB2">
              <w:rPr>
                <w:rFonts w:asciiTheme="minorHAnsi" w:hAnsiTheme="minorHAnsi" w:cstheme="minorHAnsi"/>
              </w:rPr>
              <w:br/>
            </w:r>
            <w:r w:rsidRPr="00A75FA3">
              <w:rPr>
                <w:rFonts w:asciiTheme="minorHAnsi" w:hAnsiTheme="minorHAnsi" w:cstheme="minorHAnsi"/>
              </w:rPr>
              <w:t>w stosunku do podmiotów, które nie złożyły dokumentów finansowych, równolegle do wzmianki o niewykonywaniu obowiązku złożenia dokumentów finansowych.</w:t>
            </w:r>
          </w:p>
        </w:tc>
        <w:tc>
          <w:tcPr>
            <w:tcW w:w="3968" w:type="dxa"/>
            <w:shd w:val="clear" w:color="auto" w:fill="auto"/>
          </w:tcPr>
          <w:p w14:paraId="2837456F" w14:textId="792CC366" w:rsidR="00282814" w:rsidRPr="004B6938" w:rsidRDefault="00712CB2" w:rsidP="0028281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Korekta projektu ustawy we wskazanym zakresie.</w:t>
            </w:r>
          </w:p>
        </w:tc>
        <w:tc>
          <w:tcPr>
            <w:tcW w:w="1080" w:type="dxa"/>
          </w:tcPr>
          <w:p w14:paraId="6B6F8BD0" w14:textId="77777777" w:rsidR="00282814" w:rsidRPr="004B6938" w:rsidRDefault="00282814" w:rsidP="002828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82814" w:rsidRPr="004B4123" w14:paraId="18325200" w14:textId="77777777" w:rsidTr="00EF750B">
        <w:tc>
          <w:tcPr>
            <w:tcW w:w="421" w:type="dxa"/>
            <w:shd w:val="clear" w:color="auto" w:fill="auto"/>
          </w:tcPr>
          <w:p w14:paraId="7B2E55FE" w14:textId="14AF1A53" w:rsidR="00282814" w:rsidRPr="004B6938" w:rsidRDefault="00282814" w:rsidP="00282814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3BA5F7D8" w14:textId="049A8A38" w:rsidR="00282814" w:rsidRPr="004B6938" w:rsidRDefault="00282814" w:rsidP="00282814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MFiG</w:t>
            </w:r>
            <w:proofErr w:type="spellEnd"/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  <w:r w:rsidRPr="004B6938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</w:tcPr>
          <w:p w14:paraId="6921FBFF" w14:textId="4A2C2515" w:rsidR="00685F47" w:rsidRPr="00685F47" w:rsidRDefault="00282814" w:rsidP="00685F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5F47"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  <w:r w:rsidR="00685F47" w:rsidRPr="00685F4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685F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85F47">
              <w:rPr>
                <w:rFonts w:asciiTheme="minorHAnsi" w:hAnsiTheme="minorHAnsi" w:cstheme="minorHAnsi"/>
                <w:sz w:val="22"/>
                <w:szCs w:val="22"/>
              </w:rPr>
              <w:br/>
              <w:t>a</w:t>
            </w:r>
            <w:r w:rsidR="00685F47" w:rsidRPr="00685F47">
              <w:rPr>
                <w:rFonts w:asciiTheme="minorHAnsi" w:hAnsiTheme="minorHAnsi" w:cstheme="minorHAnsi"/>
                <w:sz w:val="22"/>
                <w:szCs w:val="22"/>
              </w:rPr>
              <w:t>rt. 25a ust. 1 pkt 4 i 5</w:t>
            </w:r>
          </w:p>
        </w:tc>
        <w:tc>
          <w:tcPr>
            <w:tcW w:w="6663" w:type="dxa"/>
          </w:tcPr>
          <w:p w14:paraId="53ABC4B2" w14:textId="09152987" w:rsidR="00282814" w:rsidRPr="00A75FA3" w:rsidRDefault="00282814" w:rsidP="00432542">
            <w:pPr>
              <w:pStyle w:val="TekstpismaMF"/>
              <w:spacing w:before="0" w:line="240" w:lineRule="auto"/>
              <w:jc w:val="both"/>
              <w:rPr>
                <w:rFonts w:asciiTheme="minorHAnsi" w:hAnsiTheme="minorHAnsi" w:cstheme="minorHAnsi"/>
              </w:rPr>
            </w:pPr>
            <w:r w:rsidRPr="00A75FA3">
              <w:rPr>
                <w:rFonts w:asciiTheme="minorHAnsi" w:hAnsiTheme="minorHAnsi" w:cstheme="minorHAnsi"/>
              </w:rPr>
              <w:t xml:space="preserve">Zgodnie z pkt 1 OSR „Celem projektu powinno więc być usunięcie zidentyfikowanych wyżej problemów poprzez istotną zmianę sposobu prowadzenia postępowań przymuszających do złożenia dokumentów, </w:t>
            </w:r>
            <w:r w:rsidR="00085A12">
              <w:rPr>
                <w:rFonts w:asciiTheme="minorHAnsi" w:hAnsiTheme="minorHAnsi" w:cstheme="minorHAnsi"/>
              </w:rPr>
              <w:br/>
            </w:r>
            <w:r w:rsidRPr="00A75FA3">
              <w:rPr>
                <w:rFonts w:asciiTheme="minorHAnsi" w:hAnsiTheme="minorHAnsi" w:cstheme="minorHAnsi"/>
              </w:rPr>
              <w:t xml:space="preserve">o których mowa w art. 69 ustawy z dnia 29 września 1994 r. </w:t>
            </w:r>
            <w:r w:rsidR="00085A12">
              <w:rPr>
                <w:rFonts w:asciiTheme="minorHAnsi" w:hAnsiTheme="minorHAnsi" w:cstheme="minorHAnsi"/>
              </w:rPr>
              <w:br/>
            </w:r>
            <w:r w:rsidRPr="00A75FA3">
              <w:rPr>
                <w:rFonts w:asciiTheme="minorHAnsi" w:hAnsiTheme="minorHAnsi" w:cstheme="minorHAnsi"/>
              </w:rPr>
              <w:t xml:space="preserve">o rachunkowości”. Należy zauważyć, iż dokumenty finansowe składane są również na podstawie innych przepisów niż art. 69 ustawy </w:t>
            </w:r>
            <w:r w:rsidR="00085A12">
              <w:rPr>
                <w:rFonts w:asciiTheme="minorHAnsi" w:hAnsiTheme="minorHAnsi" w:cstheme="minorHAnsi"/>
              </w:rPr>
              <w:br/>
            </w:r>
            <w:r w:rsidRPr="00A75FA3">
              <w:rPr>
                <w:rFonts w:asciiTheme="minorHAnsi" w:hAnsiTheme="minorHAnsi" w:cstheme="minorHAnsi"/>
              </w:rPr>
              <w:t>o rachunkowości vide obecnie obowiązujący art. 9a ust. 2 ustawy o KRS.</w:t>
            </w:r>
          </w:p>
          <w:p w14:paraId="7FA5C969" w14:textId="77777777" w:rsidR="00282814" w:rsidRPr="00A75FA3" w:rsidRDefault="00282814" w:rsidP="00432542">
            <w:pPr>
              <w:pStyle w:val="TekstpismaMF"/>
              <w:spacing w:before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57CD605E" w14:textId="1A97611C" w:rsidR="00282814" w:rsidRPr="00685F47" w:rsidRDefault="00282814" w:rsidP="00685F47">
            <w:pPr>
              <w:pStyle w:val="TekstpismaMF"/>
              <w:spacing w:before="0" w:line="240" w:lineRule="auto"/>
              <w:jc w:val="both"/>
              <w:rPr>
                <w:rFonts w:asciiTheme="minorHAnsi" w:hAnsiTheme="minorHAnsi" w:cstheme="minorHAnsi"/>
              </w:rPr>
            </w:pPr>
            <w:r w:rsidRPr="00A75FA3">
              <w:rPr>
                <w:rFonts w:asciiTheme="minorHAnsi" w:hAnsiTheme="minorHAnsi" w:cstheme="minorHAnsi"/>
              </w:rPr>
              <w:t>Jednocześnie zgłaszamy wątpliwości odnośnie do przepisu, który wiąże się z zagadnieniami objętymi projektem chociaż jego treść nie ulega zmianie. Analizy wymaga relacja pomiędzy obowiązującymi obecnie przesłankami wszczęcia z urzędu postępowania o rozwiązanie podmiotu wpisanego do Rejestru, wskazanymi w art. 25a ust. 1 pkt 4 i 5, bez przeprowadzania postępowania przymuszającego. Przyjęcie wykładni art. 25a ust. 1 pkt 5, zgodnie z którą przepis ten odnosi się do niewykonywania „innych obowiązków”, prowadzi do wniosku, że nie obejmuje on obowiązku składania sprawozdań finansowych, który został odrębnie uregulowany w pkt 4.</w:t>
            </w:r>
            <w:r w:rsidR="00085A12">
              <w:rPr>
                <w:rFonts w:asciiTheme="minorHAnsi" w:hAnsiTheme="minorHAnsi" w:cstheme="minorHAnsi"/>
              </w:rPr>
              <w:t xml:space="preserve"> </w:t>
            </w:r>
            <w:r w:rsidRPr="00A75FA3">
              <w:rPr>
                <w:rFonts w:asciiTheme="minorHAnsi" w:hAnsiTheme="minorHAnsi" w:cstheme="minorHAnsi"/>
              </w:rPr>
              <w:t xml:space="preserve">W tym kontekście przepis art. 25a ust. 1 pkt 4 i 5 może wymagać ponownego rozważenia lub doprecyzowania. Należy bowiem zauważyć, że w przypadku obowiązku składania rocznych sprawozdań finansowych ustawodawca zakłada wszczęcie postępowania </w:t>
            </w:r>
            <w:r w:rsidRPr="00A75FA3">
              <w:rPr>
                <w:rFonts w:asciiTheme="minorHAnsi" w:hAnsiTheme="minorHAnsi" w:cstheme="minorHAnsi"/>
              </w:rPr>
              <w:lastRenderedPageBreak/>
              <w:t xml:space="preserve">dopiero w sytuacji niezłożenia sprawozdania finansowego za dwa kolejne lata obrotowe, natomiast w odniesieniu do pozostałych obowiązków wystarczające jest ich jednokrotne niewykonanie, pomimo dwukrotnego wezwania przez sąd rejestrowy. Rozwiązanie to wydaje się to wewnętrznie niespójne. </w:t>
            </w:r>
          </w:p>
        </w:tc>
        <w:tc>
          <w:tcPr>
            <w:tcW w:w="3968" w:type="dxa"/>
            <w:shd w:val="clear" w:color="auto" w:fill="auto"/>
          </w:tcPr>
          <w:p w14:paraId="7CF6E437" w14:textId="41807447" w:rsidR="00282814" w:rsidRPr="004B6938" w:rsidRDefault="00085A12" w:rsidP="00282814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85A12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 xml:space="preserve">Korekta projektu ustawy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i OSR </w:t>
            </w:r>
            <w:r w:rsidRPr="00085A12">
              <w:rPr>
                <w:rFonts w:ascii="Calibri" w:hAnsi="Calibri" w:cs="Calibri"/>
                <w:bCs/>
                <w:sz w:val="22"/>
                <w:szCs w:val="22"/>
              </w:rPr>
              <w:t>we wskazanym zakresie.</w:t>
            </w:r>
          </w:p>
        </w:tc>
        <w:tc>
          <w:tcPr>
            <w:tcW w:w="1080" w:type="dxa"/>
          </w:tcPr>
          <w:p w14:paraId="269E0BAA" w14:textId="77777777" w:rsidR="00282814" w:rsidRPr="004B6938" w:rsidRDefault="00282814" w:rsidP="002828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9A079" w14:textId="77777777" w:rsidR="00DF6156" w:rsidRDefault="00DF6156" w:rsidP="00177C39">
      <w:r>
        <w:separator/>
      </w:r>
    </w:p>
  </w:endnote>
  <w:endnote w:type="continuationSeparator" w:id="0">
    <w:p w14:paraId="02F9F5D2" w14:textId="77777777" w:rsidR="00DF6156" w:rsidRDefault="00DF6156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F811E" w14:textId="77777777" w:rsidR="00DF6156" w:rsidRDefault="00DF6156" w:rsidP="00177C39">
      <w:r>
        <w:separator/>
      </w:r>
    </w:p>
  </w:footnote>
  <w:footnote w:type="continuationSeparator" w:id="0">
    <w:p w14:paraId="14D4C7E8" w14:textId="77777777" w:rsidR="00DF6156" w:rsidRDefault="00DF6156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85A12"/>
    <w:rsid w:val="000B3A51"/>
    <w:rsid w:val="000C25D4"/>
    <w:rsid w:val="000D3D53"/>
    <w:rsid w:val="0011061D"/>
    <w:rsid w:val="00134EDA"/>
    <w:rsid w:val="00140BE8"/>
    <w:rsid w:val="00144CC8"/>
    <w:rsid w:val="001538D1"/>
    <w:rsid w:val="00156004"/>
    <w:rsid w:val="00160299"/>
    <w:rsid w:val="00177C39"/>
    <w:rsid w:val="001916D6"/>
    <w:rsid w:val="00194476"/>
    <w:rsid w:val="0019648E"/>
    <w:rsid w:val="001E0AA1"/>
    <w:rsid w:val="001E6CC9"/>
    <w:rsid w:val="002116EE"/>
    <w:rsid w:val="00247D6B"/>
    <w:rsid w:val="002715B2"/>
    <w:rsid w:val="00281D0C"/>
    <w:rsid w:val="00282814"/>
    <w:rsid w:val="002D3345"/>
    <w:rsid w:val="0030053F"/>
    <w:rsid w:val="003124D1"/>
    <w:rsid w:val="0033458B"/>
    <w:rsid w:val="00342EAE"/>
    <w:rsid w:val="00375A04"/>
    <w:rsid w:val="00382D36"/>
    <w:rsid w:val="003B4105"/>
    <w:rsid w:val="004119F9"/>
    <w:rsid w:val="00432542"/>
    <w:rsid w:val="004966A8"/>
    <w:rsid w:val="004B4123"/>
    <w:rsid w:val="004B6938"/>
    <w:rsid w:val="004D086F"/>
    <w:rsid w:val="004E3B77"/>
    <w:rsid w:val="005741DF"/>
    <w:rsid w:val="005811BB"/>
    <w:rsid w:val="0059209A"/>
    <w:rsid w:val="005975C6"/>
    <w:rsid w:val="005C20B1"/>
    <w:rsid w:val="005C520F"/>
    <w:rsid w:val="005E3BB5"/>
    <w:rsid w:val="005F6527"/>
    <w:rsid w:val="00611219"/>
    <w:rsid w:val="00632DD8"/>
    <w:rsid w:val="00634C65"/>
    <w:rsid w:val="006656EA"/>
    <w:rsid w:val="006705EC"/>
    <w:rsid w:val="00685F47"/>
    <w:rsid w:val="006C6369"/>
    <w:rsid w:val="006E013E"/>
    <w:rsid w:val="006E16E9"/>
    <w:rsid w:val="00712CB2"/>
    <w:rsid w:val="007167B1"/>
    <w:rsid w:val="007231AA"/>
    <w:rsid w:val="00756F02"/>
    <w:rsid w:val="0077406D"/>
    <w:rsid w:val="0079500D"/>
    <w:rsid w:val="007965BB"/>
    <w:rsid w:val="007B2E69"/>
    <w:rsid w:val="007D55F3"/>
    <w:rsid w:val="00807385"/>
    <w:rsid w:val="00825A2F"/>
    <w:rsid w:val="0085776B"/>
    <w:rsid w:val="008848F5"/>
    <w:rsid w:val="0088500F"/>
    <w:rsid w:val="008A4479"/>
    <w:rsid w:val="00906D07"/>
    <w:rsid w:val="009357E2"/>
    <w:rsid w:val="00944932"/>
    <w:rsid w:val="00947FC2"/>
    <w:rsid w:val="009520C3"/>
    <w:rsid w:val="009664EC"/>
    <w:rsid w:val="009C22E4"/>
    <w:rsid w:val="009E5FDB"/>
    <w:rsid w:val="00A06425"/>
    <w:rsid w:val="00A31A0A"/>
    <w:rsid w:val="00A43245"/>
    <w:rsid w:val="00A63767"/>
    <w:rsid w:val="00A75845"/>
    <w:rsid w:val="00AB2345"/>
    <w:rsid w:val="00AC7796"/>
    <w:rsid w:val="00AF549A"/>
    <w:rsid w:val="00B317E4"/>
    <w:rsid w:val="00B324BD"/>
    <w:rsid w:val="00B871B6"/>
    <w:rsid w:val="00BB2500"/>
    <w:rsid w:val="00C14F2C"/>
    <w:rsid w:val="00C3089F"/>
    <w:rsid w:val="00C64B1B"/>
    <w:rsid w:val="00C70D37"/>
    <w:rsid w:val="00CD5EB0"/>
    <w:rsid w:val="00CE2EA1"/>
    <w:rsid w:val="00CF6FB3"/>
    <w:rsid w:val="00D26D79"/>
    <w:rsid w:val="00D63B08"/>
    <w:rsid w:val="00D63CFE"/>
    <w:rsid w:val="00D8597D"/>
    <w:rsid w:val="00D940EC"/>
    <w:rsid w:val="00DB1F32"/>
    <w:rsid w:val="00DF4CB3"/>
    <w:rsid w:val="00DF6156"/>
    <w:rsid w:val="00E03A30"/>
    <w:rsid w:val="00E14C33"/>
    <w:rsid w:val="00E340EE"/>
    <w:rsid w:val="00F4586F"/>
    <w:rsid w:val="00F6122D"/>
    <w:rsid w:val="00F62A42"/>
    <w:rsid w:val="00F668E2"/>
    <w:rsid w:val="00F76A43"/>
    <w:rsid w:val="00F85703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  <w:style w:type="paragraph" w:customStyle="1" w:styleId="TekstpismaMF">
    <w:name w:val="Tekst pisma MF"/>
    <w:qFormat/>
    <w:rsid w:val="00282814"/>
    <w:pPr>
      <w:spacing w:before="240" w:line="260" w:lineRule="exact"/>
      <w:contextualSpacing/>
    </w:pPr>
    <w:rPr>
      <w:rFonts w:ascii="Lato" w:eastAsiaTheme="minorHAnsi" w:hAnsi="Lato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1424</Words>
  <Characters>8545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2</cp:revision>
  <dcterms:created xsi:type="dcterms:W3CDTF">2026-04-15T06:41:00Z</dcterms:created>
  <dcterms:modified xsi:type="dcterms:W3CDTF">2026-04-15T06:41:00Z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